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0C9B" w14:textId="29B744B1" w:rsidR="006668A0" w:rsidRPr="006668A0" w:rsidRDefault="000D0725" w:rsidP="006668A0">
      <w:pPr>
        <w:pBdr>
          <w:top w:val="single" w:sz="12" w:space="1" w:color="auto"/>
          <w:bottom w:val="single" w:sz="12" w:space="1" w:color="auto"/>
        </w:pBdr>
        <w:rPr>
          <w:rFonts w:ascii="Bookman Old Style" w:hAnsi="Bookman Old Style"/>
        </w:rPr>
      </w:pPr>
      <w:bookmarkStart w:id="0" w:name="OLE_LINK3"/>
      <w:bookmarkStart w:id="1" w:name="OLE_LINK4"/>
      <w:bookmarkStart w:id="2" w:name="OLE_LINK5"/>
      <w:r w:rsidRPr="000D0725"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INDICADORES ECONÔMICOS</w:t>
      </w:r>
      <w:r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ab/>
      </w:r>
      <w:r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ab/>
      </w:r>
      <w:r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ab/>
      </w:r>
      <w:r w:rsidR="00216138"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21</w:t>
      </w:r>
      <w:r w:rsidR="0096756F"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/0</w:t>
      </w:r>
      <w:r w:rsidR="00216138"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9</w:t>
      </w:r>
      <w:r w:rsidR="0096756F"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/</w:t>
      </w:r>
      <w:r>
        <w:rPr>
          <w:rFonts w:ascii="Bookman Old Style" w:hAnsi="Bookman Old Style"/>
          <w:noProof/>
          <w:color w:val="767171" w:themeColor="background2" w:themeShade="80"/>
          <w:sz w:val="32"/>
          <w:szCs w:val="32"/>
        </w:rPr>
        <w:t>2020</w:t>
      </w:r>
    </w:p>
    <w:p w14:paraId="0D1F5EC9" w14:textId="46152B0D" w:rsidR="00133015" w:rsidRPr="007907A9" w:rsidRDefault="00CC1CE9" w:rsidP="00A023CD">
      <w:pPr>
        <w:pBdr>
          <w:bottom w:val="single" w:sz="6" w:space="1" w:color="auto"/>
        </w:pBdr>
        <w:jc w:val="both"/>
        <w:rPr>
          <w:rFonts w:ascii="Bookman Old Style" w:hAnsi="Bookman Old Style"/>
          <w:sz w:val="22"/>
          <w:szCs w:val="22"/>
        </w:rPr>
      </w:pPr>
      <w:r w:rsidRPr="007907A9">
        <w:rPr>
          <w:rFonts w:ascii="Bookman Old Style" w:hAnsi="Bookman Old Style"/>
          <w:sz w:val="22"/>
          <w:szCs w:val="22"/>
        </w:rPr>
        <w:t>Esse informativo apresenta os principais indicadores econômicos atualizados para o Brasil e para o mundo (Boletim Focus/BACEN, FMI e OCDE), bem como a sua evolução temporal.</w:t>
      </w:r>
    </w:p>
    <w:bookmarkEnd w:id="0"/>
    <w:bookmarkEnd w:id="1"/>
    <w:bookmarkEnd w:id="2"/>
    <w:p w14:paraId="712C7C59" w14:textId="76D2F3FE" w:rsidR="003506C7" w:rsidRPr="003D1403" w:rsidRDefault="003506C7" w:rsidP="003506C7">
      <w:pPr>
        <w:pStyle w:val="NormalWeb"/>
        <w:rPr>
          <w:rStyle w:val="Forte"/>
          <w:rFonts w:ascii="Bookman Old Style" w:hAnsi="Bookman Old Style"/>
          <w:b w:val="0"/>
          <w:bCs w:val="0"/>
          <w:color w:val="4472C4" w:themeColor="accent1"/>
        </w:rPr>
      </w:pPr>
      <w:r w:rsidRPr="003D1403">
        <w:rPr>
          <w:rStyle w:val="Forte"/>
          <w:rFonts w:ascii="Bookman Old Style" w:hAnsi="Bookman Old Style"/>
          <w:b w:val="0"/>
          <w:bCs w:val="0"/>
          <w:color w:val="4472C4" w:themeColor="accent1"/>
        </w:rPr>
        <w:t>Economia brasileira</w:t>
      </w:r>
    </w:p>
    <w:tbl>
      <w:tblPr>
        <w:tblW w:w="8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899"/>
        <w:gridCol w:w="807"/>
        <w:gridCol w:w="807"/>
        <w:gridCol w:w="616"/>
        <w:gridCol w:w="709"/>
        <w:gridCol w:w="616"/>
      </w:tblGrid>
      <w:tr w:rsidR="003D1403" w:rsidRPr="003D1403" w14:paraId="3F16B1D1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9402AD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0379332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color w:val="000000"/>
                <w:sz w:val="22"/>
                <w:szCs w:val="22"/>
              </w:rPr>
              <w:t>Focus</w:t>
            </w:r>
          </w:p>
        </w:tc>
      </w:tr>
      <w:tr w:rsidR="003D1403" w:rsidRPr="003D1403" w14:paraId="32CB9492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B071CB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0A74E7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39AF0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sz w:val="22"/>
                <w:szCs w:val="22"/>
              </w:rPr>
              <w:t>Mensal</w:t>
            </w:r>
          </w:p>
        </w:tc>
      </w:tr>
      <w:tr w:rsidR="003D1403" w:rsidRPr="003D1403" w14:paraId="7230C92C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70F8566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97D6429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A784506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2FCBFA3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5509C7F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set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90642C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out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5F89A8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nov</w:t>
            </w:r>
            <w:proofErr w:type="spellEnd"/>
          </w:p>
        </w:tc>
      </w:tr>
      <w:tr w:rsidR="003D1403" w:rsidRPr="003D1403" w14:paraId="43EA9B13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A28BCD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IPCA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DA2A2F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1,99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9150CD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3,01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D58889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E3D538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77C34C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8C2169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0,23</w:t>
            </w:r>
          </w:p>
        </w:tc>
      </w:tr>
      <w:tr w:rsidR="003D1403" w:rsidRPr="003D1403" w14:paraId="7565A704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4C1141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IGP-M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3EACEC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7CD06C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548E49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E35232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D53388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26F3D9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0,48</w:t>
            </w:r>
          </w:p>
        </w:tc>
      </w:tr>
      <w:tr w:rsidR="003D1403" w:rsidRPr="003D1403" w14:paraId="2BCE7A1C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546D4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PIB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B0EF4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FF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FF0000"/>
                <w:sz w:val="22"/>
                <w:szCs w:val="22"/>
              </w:rPr>
              <w:t>-5,05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B97B9C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C7E8C4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98F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2D78D4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810CA3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D1403" w:rsidRPr="003D1403" w14:paraId="07787BF6" w14:textId="77777777" w:rsidTr="003D1403">
        <w:trPr>
          <w:trHeight w:val="280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F4F6F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Taxa de Câmbio (R$/US$)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0725E9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462FE7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A88165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78B651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704DD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5,29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82580B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5,25</w:t>
            </w:r>
          </w:p>
        </w:tc>
      </w:tr>
      <w:tr w:rsidR="003D1403" w:rsidRPr="003D1403" w14:paraId="1BE6E843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438374D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Meta Selic (%)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BAE61E2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BEDFDEF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43383C8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7534DD9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i/>
                <w:i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1DE4E87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782EE" w14:textId="77777777" w:rsidR="003D1403" w:rsidRPr="003D1403" w:rsidRDefault="003D1403" w:rsidP="003D1403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color w:val="000000"/>
                <w:sz w:val="22"/>
                <w:szCs w:val="22"/>
              </w:rPr>
              <w:t> </w:t>
            </w:r>
          </w:p>
        </w:tc>
      </w:tr>
      <w:tr w:rsidR="003D1403" w:rsidRPr="003D1403" w14:paraId="3CCA864D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194D" w14:textId="77777777" w:rsidR="003D1403" w:rsidRPr="003D1403" w:rsidRDefault="003D1403" w:rsidP="003D1403">
            <w:pPr>
              <w:rPr>
                <w:rFonts w:ascii="Bookman Old Style" w:hAnsi="Bookman Old Style" w:cs="Arial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3D1403">
                <w:rPr>
                  <w:rFonts w:ascii="Bookman Old Style" w:hAnsi="Bookman Old Style" w:cs="Arial"/>
                  <w:color w:val="0563C1"/>
                  <w:sz w:val="22"/>
                  <w:szCs w:val="22"/>
                  <w:u w:val="single"/>
                </w:rPr>
                <w:t>www.bcb.gov.br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52F9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7F68B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8A1566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63E143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C5C72B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691F8" w14:textId="77777777" w:rsidR="003D1403" w:rsidRPr="003D1403" w:rsidRDefault="003D1403" w:rsidP="003D1403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4045FA" w14:textId="77777777" w:rsidR="003D1403" w:rsidRDefault="003D1403" w:rsidP="00216138">
      <w:pPr>
        <w:pStyle w:val="NormalWeb"/>
        <w:rPr>
          <w:rStyle w:val="Forte"/>
          <w:rFonts w:ascii="Bookman Old Style" w:hAnsi="Bookman Old Style"/>
          <w:b w:val="0"/>
          <w:bCs w:val="0"/>
          <w:color w:val="4472C4" w:themeColor="accent1"/>
        </w:rPr>
      </w:pPr>
    </w:p>
    <w:p w14:paraId="4BEDA6E7" w14:textId="4525BFEA" w:rsidR="00216138" w:rsidRPr="003D1403" w:rsidRDefault="00216138" w:rsidP="00216138">
      <w:pPr>
        <w:pStyle w:val="NormalWeb"/>
        <w:rPr>
          <w:rStyle w:val="Forte"/>
          <w:rFonts w:ascii="Bookman Old Style" w:hAnsi="Bookman Old Style"/>
          <w:b w:val="0"/>
          <w:bCs w:val="0"/>
          <w:color w:val="4472C4" w:themeColor="accent1"/>
        </w:rPr>
      </w:pPr>
      <w:r w:rsidRPr="003D1403">
        <w:rPr>
          <w:rStyle w:val="Forte"/>
          <w:rFonts w:ascii="Bookman Old Style" w:hAnsi="Bookman Old Style"/>
          <w:b w:val="0"/>
          <w:bCs w:val="0"/>
          <w:color w:val="4472C4" w:themeColor="accent1"/>
        </w:rPr>
        <w:t xml:space="preserve">Economia </w:t>
      </w:r>
      <w:r w:rsidRPr="003D1403">
        <w:rPr>
          <w:rStyle w:val="Forte"/>
          <w:rFonts w:ascii="Bookman Old Style" w:hAnsi="Bookman Old Style"/>
          <w:b w:val="0"/>
          <w:bCs w:val="0"/>
          <w:color w:val="4472C4" w:themeColor="accent1"/>
        </w:rPr>
        <w:t>internacional</w:t>
      </w: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899"/>
        <w:gridCol w:w="163"/>
        <w:gridCol w:w="644"/>
        <w:gridCol w:w="807"/>
        <w:gridCol w:w="29"/>
        <w:gridCol w:w="560"/>
        <w:gridCol w:w="709"/>
        <w:gridCol w:w="458"/>
        <w:gridCol w:w="131"/>
      </w:tblGrid>
      <w:tr w:rsidR="003D1403" w:rsidRPr="003D1403" w14:paraId="027EDBD0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1A638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PIB</w:t>
            </w:r>
          </w:p>
        </w:tc>
        <w:tc>
          <w:tcPr>
            <w:tcW w:w="32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9252CA" w14:textId="77777777" w:rsidR="003D1403" w:rsidRPr="003D1403" w:rsidRDefault="003D1403" w:rsidP="003D1403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OCDE</w:t>
            </w:r>
          </w:p>
        </w:tc>
      </w:tr>
      <w:tr w:rsidR="003D1403" w:rsidRPr="003D1403" w14:paraId="3662867B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C37887" w14:textId="77777777" w:rsidR="003D1403" w:rsidRPr="003D1403" w:rsidRDefault="003D1403" w:rsidP="003D140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0F3B535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07B546C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2021</w:t>
            </w:r>
          </w:p>
        </w:tc>
      </w:tr>
      <w:tr w:rsidR="003D1403" w:rsidRPr="003D1403" w14:paraId="5D40F9EA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CDFA74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PIB mundial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E2D87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-4.5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F5516A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3D1403" w:rsidRPr="003D1403" w14:paraId="461556C9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EDF" w14:textId="77777777" w:rsidR="003D1403" w:rsidRPr="003D1403" w:rsidRDefault="003D1403" w:rsidP="003D1403">
            <w:pPr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  <w:t>PIB Brasil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CFE3F7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2"/>
                <w:szCs w:val="22"/>
              </w:rPr>
              <w:t>-6.5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6941FD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 w:val="22"/>
                <w:szCs w:val="22"/>
              </w:rPr>
              <w:t>3.6</w:t>
            </w:r>
          </w:p>
        </w:tc>
      </w:tr>
      <w:tr w:rsidR="003D1403" w:rsidRPr="003D1403" w14:paraId="7825A75E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AF289F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PIB EUA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B6402A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-3.8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C87461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4.0</w:t>
            </w:r>
          </w:p>
        </w:tc>
      </w:tr>
      <w:tr w:rsidR="003D1403" w:rsidRPr="003D1403" w14:paraId="3A7A445C" w14:textId="77777777" w:rsidTr="003D1403">
        <w:trPr>
          <w:gridAfter w:val="1"/>
          <w:wAfter w:w="131" w:type="dxa"/>
          <w:trHeight w:val="315"/>
          <w:jc w:val="center"/>
        </w:trPr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92C459" w14:textId="77777777" w:rsidR="003D1403" w:rsidRPr="003D1403" w:rsidRDefault="003D1403" w:rsidP="003D1403">
            <w:pPr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PIB China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4836645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FF73A09" w14:textId="77777777" w:rsidR="003D1403" w:rsidRPr="003D1403" w:rsidRDefault="003D1403" w:rsidP="003D1403">
            <w:pPr>
              <w:jc w:val="center"/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Arial"/>
                <w:i/>
                <w:iCs/>
                <w:color w:val="000000"/>
                <w:sz w:val="22"/>
                <w:szCs w:val="22"/>
              </w:rPr>
              <w:t>8.0</w:t>
            </w:r>
          </w:p>
        </w:tc>
      </w:tr>
      <w:tr w:rsidR="003D1403" w:rsidRPr="003D1403" w14:paraId="7E2E6F12" w14:textId="77777777" w:rsidTr="003D1403">
        <w:trPr>
          <w:trHeight w:val="315"/>
          <w:jc w:val="center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DCB8" w14:textId="3D8C3D70" w:rsidR="003D1403" w:rsidRPr="003D1403" w:rsidRDefault="003D1403" w:rsidP="00CC03E5">
            <w:pPr>
              <w:rPr>
                <w:rFonts w:ascii="Bookman Old Style" w:hAnsi="Bookman Old Style" w:cs="Arial"/>
                <w:color w:val="0563C1"/>
                <w:sz w:val="22"/>
                <w:szCs w:val="22"/>
                <w:u w:val="single"/>
              </w:rPr>
            </w:pPr>
            <w:hyperlink r:id="rId9" w:history="1">
              <w:r w:rsidRPr="003D1403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www.</w:t>
              </w:r>
              <w:r w:rsidRPr="00F1725B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oecd</w:t>
              </w:r>
              <w:r w:rsidRPr="003D1403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.</w:t>
              </w:r>
              <w:r w:rsidRPr="00F1725B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o</w:t>
              </w:r>
              <w:r w:rsidRPr="003D1403">
                <w:rPr>
                  <w:rStyle w:val="Hyperlink"/>
                  <w:rFonts w:ascii="Bookman Old Style" w:hAnsi="Bookman Old Style" w:cs="Arial"/>
                  <w:sz w:val="22"/>
                  <w:szCs w:val="22"/>
                </w:rPr>
                <w:t>r</w:t>
              </w:r>
            </w:hyperlink>
            <w:r>
              <w:rPr>
                <w:rFonts w:ascii="Bookman Old Style" w:hAnsi="Bookman Old Style" w:cs="Arial"/>
                <w:color w:val="0563C1"/>
                <w:sz w:val="22"/>
                <w:szCs w:val="22"/>
                <w:u w:val="single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7CF2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5E44BB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7F743A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9ABB0D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069D5D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CFE919" w14:textId="77777777" w:rsidR="003D1403" w:rsidRPr="003D1403" w:rsidRDefault="003D1403" w:rsidP="00CC03E5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3D1403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400888" w14:textId="5B0F69C2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2"/>
          <w:szCs w:val="22"/>
        </w:rPr>
      </w:pPr>
    </w:p>
    <w:p w14:paraId="795926F7" w14:textId="77777777" w:rsidR="003D1403" w:rsidRPr="003D1403" w:rsidRDefault="003D1403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2"/>
          <w:szCs w:val="22"/>
        </w:rPr>
      </w:pPr>
    </w:p>
    <w:p w14:paraId="70F7ABAE" w14:textId="77777777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613D3339" w14:textId="77777777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3519B885" w14:textId="77777777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4AD74324" w14:textId="77777777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534B40DC" w14:textId="481DBF63" w:rsidR="00216138" w:rsidRDefault="00216138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384420AB" w14:textId="28A60296" w:rsidR="003D1403" w:rsidRDefault="003D1403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03BDEC65" w14:textId="28227F23" w:rsidR="003D1403" w:rsidRDefault="003D1403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4E742E24" w14:textId="77777777" w:rsidR="003D1403" w:rsidRDefault="003D1403" w:rsidP="00676442">
      <w:pPr>
        <w:spacing w:after="120" w:line="360" w:lineRule="auto"/>
        <w:jc w:val="both"/>
        <w:rPr>
          <w:rFonts w:ascii="Bookman Old Style" w:hAnsi="Bookman Old Style"/>
          <w:color w:val="4472C4" w:themeColor="accent1"/>
          <w:sz w:val="20"/>
          <w:szCs w:val="20"/>
        </w:rPr>
      </w:pPr>
    </w:p>
    <w:p w14:paraId="34CD5AEB" w14:textId="7067F6C9" w:rsidR="003D1403" w:rsidRPr="0047443E" w:rsidRDefault="00676442" w:rsidP="0047443E">
      <w:pPr>
        <w:pBdr>
          <w:bottom w:val="single" w:sz="6" w:space="1" w:color="auto"/>
        </w:pBdr>
        <w:spacing w:after="120" w:line="360" w:lineRule="auto"/>
        <w:jc w:val="both"/>
        <w:rPr>
          <w:rFonts w:ascii="Bookman Old Style" w:hAnsi="Bookman Old Style"/>
          <w:color w:val="4472C4" w:themeColor="accent1"/>
        </w:rPr>
      </w:pPr>
      <w:r w:rsidRPr="003D1403">
        <w:rPr>
          <w:rFonts w:ascii="Bookman Old Style" w:hAnsi="Bookman Old Style"/>
          <w:color w:val="4472C4" w:themeColor="accent1"/>
        </w:rPr>
        <w:lastRenderedPageBreak/>
        <w:t>Previsão FOCUS/BACEN</w:t>
      </w:r>
    </w:p>
    <w:p w14:paraId="75EB4BD9" w14:textId="5F7378CD" w:rsidR="00917C99" w:rsidRDefault="00014B61" w:rsidP="0047443E">
      <w:pPr>
        <w:spacing w:after="120" w:line="360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bookmarkStart w:id="3" w:name="OLE_LINK1"/>
      <w:bookmarkStart w:id="4" w:name="OLE_LINK2"/>
      <w:r w:rsidRPr="00014B61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PIB</w:t>
      </w:r>
      <w:bookmarkEnd w:id="3"/>
      <w:bookmarkEnd w:id="4"/>
    </w:p>
    <w:tbl>
      <w:tblPr>
        <w:tblStyle w:val="Tabelacomgrad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2F4CE2" w14:paraId="2BE2C9CB" w14:textId="77777777" w:rsidTr="002F4CE2">
        <w:trPr>
          <w:trHeight w:val="4203"/>
          <w:jc w:val="center"/>
        </w:trPr>
        <w:tc>
          <w:tcPr>
            <w:tcW w:w="4678" w:type="dxa"/>
          </w:tcPr>
          <w:p w14:paraId="6EB3C0C6" w14:textId="0DD71F0A" w:rsidR="002F4CE2" w:rsidRDefault="002F4CE2" w:rsidP="000E2C9C">
            <w:pP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bookmarkStart w:id="5" w:name="OLE_LINK9"/>
            <w:bookmarkStart w:id="6" w:name="OLE_LINK10"/>
            <w:bookmarkStart w:id="7" w:name="OLE_LINK11"/>
            <w:r>
              <w:rPr>
                <w:noProof/>
              </w:rPr>
              <w:drawing>
                <wp:inline distT="0" distB="0" distL="0" distR="0" wp14:anchorId="10CE7224" wp14:editId="7F168B4B">
                  <wp:extent cx="2871537" cy="2590800"/>
                  <wp:effectExtent l="0" t="0" r="0" b="0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E6CE6E-C03D-EC4F-ADF4-FA9DB2081B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0F75775" w14:textId="5EBAE6B4" w:rsidR="002F4CE2" w:rsidRDefault="002F4CE2" w:rsidP="000E2C9C">
            <w:pPr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316726" wp14:editId="1EEAC43E">
                  <wp:extent cx="2927685" cy="2719136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70659F-8E3B-A24A-98FD-7D652E5B3B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bookmarkEnd w:id="5"/>
      <w:bookmarkEnd w:id="6"/>
      <w:bookmarkEnd w:id="7"/>
    </w:tbl>
    <w:p w14:paraId="1626B88C" w14:textId="66828536" w:rsidR="002F4CE2" w:rsidRDefault="002F4CE2" w:rsidP="000E2C9C">
      <w:pPr>
        <w:pBdr>
          <w:bottom w:val="single" w:sz="6" w:space="1" w:color="auto"/>
        </w:pBdr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383D44DB" w14:textId="2187500A" w:rsidR="002F4CE2" w:rsidRDefault="002F4CE2" w:rsidP="000E2C9C">
      <w:pPr>
        <w:pBdr>
          <w:bottom w:val="single" w:sz="6" w:space="1" w:color="auto"/>
        </w:pBdr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16F537D8" w14:textId="3FA27254" w:rsidR="000E2C9C" w:rsidRDefault="00014B61" w:rsidP="000E2C9C">
      <w:pPr>
        <w:rPr>
          <w:b/>
          <w:bCs/>
        </w:rPr>
      </w:pPr>
      <w:r w:rsidRPr="00014B61">
        <w:rPr>
          <w:b/>
          <w:bCs/>
        </w:rPr>
        <w:t>Inflação</w:t>
      </w:r>
    </w:p>
    <w:p w14:paraId="4165C233" w14:textId="77D7EAE0" w:rsidR="00032940" w:rsidRDefault="00032940" w:rsidP="000E2C9C">
      <w:pPr>
        <w:rPr>
          <w:b/>
          <w:bCs/>
        </w:rPr>
      </w:pPr>
    </w:p>
    <w:tbl>
      <w:tblPr>
        <w:tblStyle w:val="Tabelacomgrade"/>
        <w:tblW w:w="10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72"/>
      </w:tblGrid>
      <w:tr w:rsidR="002F4CE2" w14:paraId="29C41025" w14:textId="77777777" w:rsidTr="0047443E">
        <w:trPr>
          <w:jc w:val="center"/>
        </w:trPr>
        <w:tc>
          <w:tcPr>
            <w:tcW w:w="10412" w:type="dxa"/>
            <w:gridSpan w:val="2"/>
          </w:tcPr>
          <w:p w14:paraId="374D4104" w14:textId="62685292" w:rsidR="002F4CE2" w:rsidRDefault="002F4CE2" w:rsidP="002F4CE2">
            <w:pPr>
              <w:jc w:val="center"/>
              <w:rPr>
                <w:b/>
                <w:bCs/>
              </w:rPr>
            </w:pPr>
            <w:bookmarkStart w:id="8" w:name="OLE_LINK12"/>
            <w:bookmarkStart w:id="9" w:name="OLE_LINK13"/>
            <w:r>
              <w:rPr>
                <w:noProof/>
              </w:rPr>
              <w:drawing>
                <wp:inline distT="0" distB="0" distL="0" distR="0" wp14:anchorId="27DF908B" wp14:editId="2668A8FA">
                  <wp:extent cx="3569368" cy="2759243"/>
                  <wp:effectExtent l="0" t="0" r="0" b="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746A2F-0EDF-EA45-8AA3-58624E34EC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7443E" w14:paraId="601AB3A1" w14:textId="77777777" w:rsidTr="0047443E">
        <w:trPr>
          <w:jc w:val="center"/>
        </w:trPr>
        <w:tc>
          <w:tcPr>
            <w:tcW w:w="10412" w:type="dxa"/>
            <w:gridSpan w:val="2"/>
          </w:tcPr>
          <w:p w14:paraId="2E7227CB" w14:textId="137E110F" w:rsidR="00FE75A6" w:rsidRPr="00FE75A6" w:rsidRDefault="00FE75A6" w:rsidP="00FE75A6">
            <w:pPr>
              <w:pBdr>
                <w:bottom w:val="single" w:sz="6" w:space="1" w:color="auto"/>
              </w:pBdr>
              <w:spacing w:after="120" w:line="36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FE75A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Fonte: Bacen</w:t>
            </w:r>
          </w:p>
          <w:p w14:paraId="06FB9E72" w14:textId="77777777" w:rsidR="0047443E" w:rsidRDefault="0047443E" w:rsidP="002F4CE2">
            <w:pPr>
              <w:jc w:val="center"/>
              <w:rPr>
                <w:noProof/>
              </w:rPr>
            </w:pPr>
          </w:p>
          <w:p w14:paraId="04BFDD28" w14:textId="77777777" w:rsidR="00AC366F" w:rsidRDefault="00AC366F" w:rsidP="002F4CE2">
            <w:pPr>
              <w:jc w:val="center"/>
              <w:rPr>
                <w:noProof/>
              </w:rPr>
            </w:pPr>
          </w:p>
          <w:p w14:paraId="7B8FC7B4" w14:textId="77777777" w:rsidR="00AC366F" w:rsidRDefault="00AC366F" w:rsidP="002F4CE2">
            <w:pPr>
              <w:jc w:val="center"/>
              <w:rPr>
                <w:noProof/>
              </w:rPr>
            </w:pPr>
          </w:p>
          <w:p w14:paraId="0BEE7BA4" w14:textId="77777777" w:rsidR="00AC366F" w:rsidRDefault="00AC366F" w:rsidP="002F4CE2">
            <w:pPr>
              <w:jc w:val="center"/>
              <w:rPr>
                <w:noProof/>
              </w:rPr>
            </w:pPr>
          </w:p>
          <w:p w14:paraId="32E6B7A2" w14:textId="77777777" w:rsidR="00AC366F" w:rsidRDefault="00AC366F" w:rsidP="002F4CE2">
            <w:pPr>
              <w:jc w:val="center"/>
              <w:rPr>
                <w:noProof/>
              </w:rPr>
            </w:pPr>
          </w:p>
          <w:p w14:paraId="4BDBF28E" w14:textId="77777777" w:rsidR="00AC366F" w:rsidRDefault="00AC366F" w:rsidP="002F4CE2">
            <w:pPr>
              <w:jc w:val="center"/>
              <w:rPr>
                <w:noProof/>
              </w:rPr>
            </w:pPr>
          </w:p>
          <w:p w14:paraId="0FA5A0E9" w14:textId="581F8270" w:rsidR="00AC366F" w:rsidRDefault="00AC366F" w:rsidP="002F4CE2">
            <w:pPr>
              <w:jc w:val="center"/>
              <w:rPr>
                <w:noProof/>
              </w:rPr>
            </w:pPr>
          </w:p>
        </w:tc>
      </w:tr>
      <w:tr w:rsidR="002F4CE2" w14:paraId="381DE48D" w14:textId="77777777" w:rsidTr="0047443E">
        <w:trPr>
          <w:jc w:val="center"/>
        </w:trPr>
        <w:tc>
          <w:tcPr>
            <w:tcW w:w="5240" w:type="dxa"/>
          </w:tcPr>
          <w:p w14:paraId="00D6D0F3" w14:textId="1A82B1A9" w:rsidR="002F4CE2" w:rsidRDefault="0047443E" w:rsidP="0047443E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IPCA</w:t>
            </w:r>
          </w:p>
        </w:tc>
        <w:tc>
          <w:tcPr>
            <w:tcW w:w="5172" w:type="dxa"/>
          </w:tcPr>
          <w:p w14:paraId="4C1AB851" w14:textId="0B3D131C" w:rsidR="002F4CE2" w:rsidRDefault="0047443E" w:rsidP="0047443E">
            <w:pPr>
              <w:jc w:val="center"/>
              <w:rPr>
                <w:noProof/>
              </w:rPr>
            </w:pPr>
            <w:r>
              <w:rPr>
                <w:noProof/>
              </w:rPr>
              <w:t>IGP-M</w:t>
            </w:r>
          </w:p>
        </w:tc>
      </w:tr>
      <w:tr w:rsidR="0047443E" w14:paraId="7D5E7CF3" w14:textId="77777777" w:rsidTr="0047443E">
        <w:trPr>
          <w:jc w:val="center"/>
        </w:trPr>
        <w:tc>
          <w:tcPr>
            <w:tcW w:w="5240" w:type="dxa"/>
          </w:tcPr>
          <w:p w14:paraId="07D78F6F" w14:textId="6F8BE745" w:rsidR="0047443E" w:rsidRDefault="0047443E" w:rsidP="002F4CE2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42DA9" wp14:editId="56EB34D6">
                  <wp:extent cx="2656238" cy="2687052"/>
                  <wp:effectExtent l="0" t="0" r="0" b="571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65E072-2B2B-384E-B60C-05EE61B745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68288EB1" w14:textId="2CEC7F2C" w:rsidR="0047443E" w:rsidRDefault="0047443E" w:rsidP="002F4CE2">
            <w:pPr>
              <w:jc w:val="right"/>
              <w:rPr>
                <w:noProof/>
              </w:rPr>
            </w:pPr>
          </w:p>
        </w:tc>
        <w:tc>
          <w:tcPr>
            <w:tcW w:w="5172" w:type="dxa"/>
          </w:tcPr>
          <w:p w14:paraId="76F703EC" w14:textId="5D5A707E" w:rsidR="0047443E" w:rsidRDefault="0047443E" w:rsidP="002F4C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A73ED" wp14:editId="35C6F35B">
                  <wp:extent cx="2654968" cy="2695074"/>
                  <wp:effectExtent l="0" t="0" r="0" b="0"/>
                  <wp:docPr id="12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940379-E9BE-374B-AF7B-DE7F1CBFCF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bookmarkEnd w:id="8"/>
    <w:bookmarkEnd w:id="9"/>
    <w:p w14:paraId="315A971A" w14:textId="27F2F372" w:rsidR="00032940" w:rsidRPr="00FE75A6" w:rsidRDefault="00FE75A6" w:rsidP="00FE75A6">
      <w:pPr>
        <w:pBdr>
          <w:bottom w:val="single" w:sz="6" w:space="1" w:color="auto"/>
        </w:pBdr>
        <w:spacing w:after="120" w:line="36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FE75A6">
        <w:rPr>
          <w:rFonts w:ascii="Bookman Old Style" w:hAnsi="Bookman Old Style"/>
          <w:color w:val="000000" w:themeColor="text1"/>
          <w:sz w:val="20"/>
          <w:szCs w:val="20"/>
        </w:rPr>
        <w:t>Fonte: Bacen</w:t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FE75A6">
        <w:rPr>
          <w:rFonts w:ascii="Bookman Old Style" w:hAnsi="Bookman Old Style"/>
          <w:color w:val="000000" w:themeColor="text1"/>
          <w:sz w:val="20"/>
          <w:szCs w:val="20"/>
        </w:rPr>
        <w:t>Fonte: Bacen</w:t>
      </w:r>
    </w:p>
    <w:p w14:paraId="2E2B09F5" w14:textId="4429D88A" w:rsidR="00676442" w:rsidRDefault="00676442" w:rsidP="00676442">
      <w:pPr>
        <w:spacing w:after="12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5FB17CC" w14:textId="29FA4828" w:rsidR="00232CE5" w:rsidRDefault="00232CE5" w:rsidP="00232CE5">
      <w:pPr>
        <w:spacing w:after="120" w:line="360" w:lineRule="auto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32CE5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Câmbio</w:t>
      </w:r>
    </w:p>
    <w:p w14:paraId="01AEDDAF" w14:textId="28D9AC3E" w:rsidR="000559A7" w:rsidRDefault="00FE75A6" w:rsidP="00FE75A6">
      <w:pPr>
        <w:spacing w:after="120" w:line="360" w:lineRule="auto"/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B19D84" wp14:editId="34F6A2F3">
            <wp:extent cx="3104147" cy="3039979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A9460CEE-A533-FD4B-A9EA-A7F0B78931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AACA9F" w14:textId="7E2F6397" w:rsidR="00917C99" w:rsidRPr="00FE75A6" w:rsidRDefault="00FE75A6" w:rsidP="000559A7">
      <w:pPr>
        <w:pBdr>
          <w:bottom w:val="single" w:sz="6" w:space="1" w:color="auto"/>
        </w:pBdr>
        <w:spacing w:after="120" w:line="36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FE75A6">
        <w:rPr>
          <w:rFonts w:ascii="Bookman Old Style" w:hAnsi="Bookman Old Style"/>
          <w:color w:val="000000" w:themeColor="text1"/>
          <w:sz w:val="20"/>
          <w:szCs w:val="20"/>
        </w:rPr>
        <w:t>Fonte: Bacen</w:t>
      </w:r>
    </w:p>
    <w:p w14:paraId="7CE622DF" w14:textId="77777777" w:rsidR="00917C99" w:rsidRPr="00232CE5" w:rsidRDefault="00917C99" w:rsidP="000559A7">
      <w:pPr>
        <w:spacing w:after="120" w:line="360" w:lineRule="auto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sectPr w:rsidR="00917C99" w:rsidRPr="00232CE5" w:rsidSect="001763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BF14" w14:textId="77777777" w:rsidR="000C3773" w:rsidRDefault="000C3773" w:rsidP="00A20E63">
      <w:r>
        <w:separator/>
      </w:r>
    </w:p>
  </w:endnote>
  <w:endnote w:type="continuationSeparator" w:id="0">
    <w:p w14:paraId="7189BD14" w14:textId="77777777" w:rsidR="000C3773" w:rsidRDefault="000C3773" w:rsidP="00A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9F96" w14:textId="77777777" w:rsidR="008609D8" w:rsidRDefault="008609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CEA7" w14:textId="77777777" w:rsidR="008609D8" w:rsidRDefault="008609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574F" w14:textId="77777777" w:rsidR="008609D8" w:rsidRDefault="008609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EEC3" w14:textId="77777777" w:rsidR="000C3773" w:rsidRDefault="000C3773" w:rsidP="00A20E63">
      <w:r>
        <w:separator/>
      </w:r>
    </w:p>
  </w:footnote>
  <w:footnote w:type="continuationSeparator" w:id="0">
    <w:p w14:paraId="6683D5E2" w14:textId="77777777" w:rsidR="000C3773" w:rsidRDefault="000C3773" w:rsidP="00A2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36AE" w14:textId="77777777" w:rsidR="008609D8" w:rsidRDefault="008609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1388" w14:textId="3567FCD5" w:rsidR="002A4172" w:rsidRDefault="002A4172" w:rsidP="008609D8">
    <w:pPr>
      <w:pStyle w:val="Cabealho"/>
      <w:jc w:val="right"/>
    </w:pPr>
    <w:r w:rsidRPr="00B05275">
      <w:rPr>
        <w:i/>
        <w:iCs/>
        <w:noProof/>
      </w:rPr>
      <w:drawing>
        <wp:inline distT="0" distB="0" distL="0" distR="0" wp14:anchorId="70AEC1A1" wp14:editId="7B4731D9">
          <wp:extent cx="2327910" cy="714375"/>
          <wp:effectExtent l="0" t="0" r="0" b="9525"/>
          <wp:docPr id="3" name="Imagem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576" cy="7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FCB9A" w14:textId="77777777" w:rsidR="002A4172" w:rsidRDefault="002A41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426F" w14:textId="77777777" w:rsidR="008609D8" w:rsidRDefault="008609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617"/>
    <w:multiLevelType w:val="hybridMultilevel"/>
    <w:tmpl w:val="246473EE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87F74"/>
    <w:multiLevelType w:val="hybridMultilevel"/>
    <w:tmpl w:val="37C29D86"/>
    <w:lvl w:ilvl="0" w:tplc="9F8EB26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85C7F"/>
    <w:multiLevelType w:val="multilevel"/>
    <w:tmpl w:val="84B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54E"/>
    <w:multiLevelType w:val="multilevel"/>
    <w:tmpl w:val="595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72584"/>
    <w:multiLevelType w:val="hybridMultilevel"/>
    <w:tmpl w:val="B81A30C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0818"/>
    <w:multiLevelType w:val="multilevel"/>
    <w:tmpl w:val="5C3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44D45"/>
    <w:multiLevelType w:val="hybridMultilevel"/>
    <w:tmpl w:val="12A234DC"/>
    <w:lvl w:ilvl="0" w:tplc="50009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C20A8C"/>
    <w:multiLevelType w:val="hybridMultilevel"/>
    <w:tmpl w:val="1C926A28"/>
    <w:lvl w:ilvl="0" w:tplc="C940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0600A"/>
    <w:multiLevelType w:val="hybridMultilevel"/>
    <w:tmpl w:val="81229DDC"/>
    <w:lvl w:ilvl="0" w:tplc="88943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4513DD"/>
    <w:multiLevelType w:val="multilevel"/>
    <w:tmpl w:val="92C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B75CD"/>
    <w:multiLevelType w:val="multilevel"/>
    <w:tmpl w:val="138E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74309"/>
    <w:multiLevelType w:val="hybridMultilevel"/>
    <w:tmpl w:val="CC3A6872"/>
    <w:lvl w:ilvl="0" w:tplc="D42074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C4799"/>
    <w:multiLevelType w:val="multilevel"/>
    <w:tmpl w:val="DFB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809E4"/>
    <w:multiLevelType w:val="multilevel"/>
    <w:tmpl w:val="55FE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A4487"/>
    <w:multiLevelType w:val="hybridMultilevel"/>
    <w:tmpl w:val="4B740C2C"/>
    <w:lvl w:ilvl="0" w:tplc="E29AC1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753708"/>
    <w:multiLevelType w:val="multilevel"/>
    <w:tmpl w:val="E22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63"/>
    <w:rsid w:val="00014B61"/>
    <w:rsid w:val="00017082"/>
    <w:rsid w:val="00032940"/>
    <w:rsid w:val="00034899"/>
    <w:rsid w:val="000359D8"/>
    <w:rsid w:val="000442DD"/>
    <w:rsid w:val="000452FE"/>
    <w:rsid w:val="00051F04"/>
    <w:rsid w:val="000550E9"/>
    <w:rsid w:val="000559A7"/>
    <w:rsid w:val="0006308F"/>
    <w:rsid w:val="00065696"/>
    <w:rsid w:val="000656EA"/>
    <w:rsid w:val="000B1D66"/>
    <w:rsid w:val="000B1F03"/>
    <w:rsid w:val="000B3FFA"/>
    <w:rsid w:val="000C3773"/>
    <w:rsid w:val="000D0725"/>
    <w:rsid w:val="000D7CB3"/>
    <w:rsid w:val="000E2C9C"/>
    <w:rsid w:val="001055BF"/>
    <w:rsid w:val="001142D3"/>
    <w:rsid w:val="00122BBB"/>
    <w:rsid w:val="00124B82"/>
    <w:rsid w:val="00133015"/>
    <w:rsid w:val="001346C1"/>
    <w:rsid w:val="0014298C"/>
    <w:rsid w:val="001570C9"/>
    <w:rsid w:val="00164F1D"/>
    <w:rsid w:val="00172F7A"/>
    <w:rsid w:val="001763C9"/>
    <w:rsid w:val="00177057"/>
    <w:rsid w:val="001900BB"/>
    <w:rsid w:val="001B02ED"/>
    <w:rsid w:val="001C32C2"/>
    <w:rsid w:val="001C32C8"/>
    <w:rsid w:val="001D7030"/>
    <w:rsid w:val="001E178F"/>
    <w:rsid w:val="001F1BD5"/>
    <w:rsid w:val="001F2FF7"/>
    <w:rsid w:val="00202092"/>
    <w:rsid w:val="00206D19"/>
    <w:rsid w:val="00215723"/>
    <w:rsid w:val="00216138"/>
    <w:rsid w:val="00232CE5"/>
    <w:rsid w:val="00251F7D"/>
    <w:rsid w:val="00274024"/>
    <w:rsid w:val="002740AA"/>
    <w:rsid w:val="00275A31"/>
    <w:rsid w:val="00280266"/>
    <w:rsid w:val="002872B8"/>
    <w:rsid w:val="00296572"/>
    <w:rsid w:val="002A4172"/>
    <w:rsid w:val="002D1AAD"/>
    <w:rsid w:val="002F4CE2"/>
    <w:rsid w:val="003011A2"/>
    <w:rsid w:val="003052F0"/>
    <w:rsid w:val="00306B2C"/>
    <w:rsid w:val="00306B45"/>
    <w:rsid w:val="0032369B"/>
    <w:rsid w:val="0032662A"/>
    <w:rsid w:val="00327ABE"/>
    <w:rsid w:val="0034187A"/>
    <w:rsid w:val="003506C7"/>
    <w:rsid w:val="00351527"/>
    <w:rsid w:val="00352C99"/>
    <w:rsid w:val="00370D9C"/>
    <w:rsid w:val="003A2AD3"/>
    <w:rsid w:val="003A508F"/>
    <w:rsid w:val="003D1403"/>
    <w:rsid w:val="003D5742"/>
    <w:rsid w:val="003E1E53"/>
    <w:rsid w:val="003E3909"/>
    <w:rsid w:val="003E6001"/>
    <w:rsid w:val="003E6540"/>
    <w:rsid w:val="003F3164"/>
    <w:rsid w:val="00401ACD"/>
    <w:rsid w:val="0043494D"/>
    <w:rsid w:val="0047443E"/>
    <w:rsid w:val="00485DC2"/>
    <w:rsid w:val="00487C02"/>
    <w:rsid w:val="004A52D2"/>
    <w:rsid w:val="004A5CF2"/>
    <w:rsid w:val="004B2927"/>
    <w:rsid w:val="004B406B"/>
    <w:rsid w:val="004D3FFF"/>
    <w:rsid w:val="00500558"/>
    <w:rsid w:val="00506C4D"/>
    <w:rsid w:val="005159D9"/>
    <w:rsid w:val="005201B0"/>
    <w:rsid w:val="00530DC5"/>
    <w:rsid w:val="00534CF4"/>
    <w:rsid w:val="00536AAA"/>
    <w:rsid w:val="00552286"/>
    <w:rsid w:val="00552BA5"/>
    <w:rsid w:val="00552DB1"/>
    <w:rsid w:val="00555BB9"/>
    <w:rsid w:val="00565BF3"/>
    <w:rsid w:val="005705C9"/>
    <w:rsid w:val="00577678"/>
    <w:rsid w:val="005818A5"/>
    <w:rsid w:val="005825FD"/>
    <w:rsid w:val="00582761"/>
    <w:rsid w:val="00596125"/>
    <w:rsid w:val="00597BD7"/>
    <w:rsid w:val="005A664A"/>
    <w:rsid w:val="005C3BCD"/>
    <w:rsid w:val="005D7728"/>
    <w:rsid w:val="005E0850"/>
    <w:rsid w:val="005E2FFA"/>
    <w:rsid w:val="005E42F4"/>
    <w:rsid w:val="005F2625"/>
    <w:rsid w:val="00602ECE"/>
    <w:rsid w:val="0060415A"/>
    <w:rsid w:val="006123CD"/>
    <w:rsid w:val="0062184A"/>
    <w:rsid w:val="0064262F"/>
    <w:rsid w:val="00651332"/>
    <w:rsid w:val="00652900"/>
    <w:rsid w:val="00653314"/>
    <w:rsid w:val="00661C87"/>
    <w:rsid w:val="00665F69"/>
    <w:rsid w:val="006668A0"/>
    <w:rsid w:val="006677B8"/>
    <w:rsid w:val="00676442"/>
    <w:rsid w:val="00680707"/>
    <w:rsid w:val="006A02D2"/>
    <w:rsid w:val="006A14C6"/>
    <w:rsid w:val="006C4FF6"/>
    <w:rsid w:val="006C5334"/>
    <w:rsid w:val="006C659B"/>
    <w:rsid w:val="006F4E22"/>
    <w:rsid w:val="00751EF0"/>
    <w:rsid w:val="0077105A"/>
    <w:rsid w:val="007907A9"/>
    <w:rsid w:val="007A07D7"/>
    <w:rsid w:val="007B6522"/>
    <w:rsid w:val="007B68BE"/>
    <w:rsid w:val="007C1568"/>
    <w:rsid w:val="007C514F"/>
    <w:rsid w:val="007C65D7"/>
    <w:rsid w:val="007C6705"/>
    <w:rsid w:val="007D6B70"/>
    <w:rsid w:val="0080329E"/>
    <w:rsid w:val="008432B7"/>
    <w:rsid w:val="008609D8"/>
    <w:rsid w:val="00862ED6"/>
    <w:rsid w:val="00873123"/>
    <w:rsid w:val="00882457"/>
    <w:rsid w:val="008D12D6"/>
    <w:rsid w:val="008F01AF"/>
    <w:rsid w:val="008F7957"/>
    <w:rsid w:val="00901E25"/>
    <w:rsid w:val="0090316A"/>
    <w:rsid w:val="00917C99"/>
    <w:rsid w:val="009404A0"/>
    <w:rsid w:val="00946375"/>
    <w:rsid w:val="00966155"/>
    <w:rsid w:val="0096756F"/>
    <w:rsid w:val="00970F33"/>
    <w:rsid w:val="0097472C"/>
    <w:rsid w:val="009774C6"/>
    <w:rsid w:val="009777E6"/>
    <w:rsid w:val="009F24E2"/>
    <w:rsid w:val="009F6DC3"/>
    <w:rsid w:val="00A023CD"/>
    <w:rsid w:val="00A121DF"/>
    <w:rsid w:val="00A1574D"/>
    <w:rsid w:val="00A20E63"/>
    <w:rsid w:val="00A335C3"/>
    <w:rsid w:val="00A336B9"/>
    <w:rsid w:val="00A34D07"/>
    <w:rsid w:val="00A41008"/>
    <w:rsid w:val="00A500D0"/>
    <w:rsid w:val="00A50109"/>
    <w:rsid w:val="00A551F3"/>
    <w:rsid w:val="00A85731"/>
    <w:rsid w:val="00A97BC4"/>
    <w:rsid w:val="00AA1B77"/>
    <w:rsid w:val="00AB4A9B"/>
    <w:rsid w:val="00AC366F"/>
    <w:rsid w:val="00AD13AC"/>
    <w:rsid w:val="00AD2542"/>
    <w:rsid w:val="00AF0342"/>
    <w:rsid w:val="00AF0844"/>
    <w:rsid w:val="00AF1FFE"/>
    <w:rsid w:val="00B05275"/>
    <w:rsid w:val="00B10535"/>
    <w:rsid w:val="00B10643"/>
    <w:rsid w:val="00B12905"/>
    <w:rsid w:val="00B14A8A"/>
    <w:rsid w:val="00B2546A"/>
    <w:rsid w:val="00B31B07"/>
    <w:rsid w:val="00B4788A"/>
    <w:rsid w:val="00B568A8"/>
    <w:rsid w:val="00B61B0D"/>
    <w:rsid w:val="00B67E04"/>
    <w:rsid w:val="00B91332"/>
    <w:rsid w:val="00B95932"/>
    <w:rsid w:val="00BC528F"/>
    <w:rsid w:val="00BD44B9"/>
    <w:rsid w:val="00BE1017"/>
    <w:rsid w:val="00BE1BBB"/>
    <w:rsid w:val="00BE3AD6"/>
    <w:rsid w:val="00BE5F46"/>
    <w:rsid w:val="00BE7622"/>
    <w:rsid w:val="00C05535"/>
    <w:rsid w:val="00C103DB"/>
    <w:rsid w:val="00C15AF1"/>
    <w:rsid w:val="00C26A07"/>
    <w:rsid w:val="00C413D2"/>
    <w:rsid w:val="00C4370B"/>
    <w:rsid w:val="00C47F94"/>
    <w:rsid w:val="00C505F2"/>
    <w:rsid w:val="00C572A7"/>
    <w:rsid w:val="00C84A6F"/>
    <w:rsid w:val="00C866B2"/>
    <w:rsid w:val="00CA0172"/>
    <w:rsid w:val="00CA5511"/>
    <w:rsid w:val="00CB2421"/>
    <w:rsid w:val="00CC1CE9"/>
    <w:rsid w:val="00CC4038"/>
    <w:rsid w:val="00CE047A"/>
    <w:rsid w:val="00CF2577"/>
    <w:rsid w:val="00CF7024"/>
    <w:rsid w:val="00D04D20"/>
    <w:rsid w:val="00D34A55"/>
    <w:rsid w:val="00D51C00"/>
    <w:rsid w:val="00D52598"/>
    <w:rsid w:val="00D54936"/>
    <w:rsid w:val="00D55A6A"/>
    <w:rsid w:val="00D62AF2"/>
    <w:rsid w:val="00D64153"/>
    <w:rsid w:val="00D83B2F"/>
    <w:rsid w:val="00D939DB"/>
    <w:rsid w:val="00DB0711"/>
    <w:rsid w:val="00DB6BE0"/>
    <w:rsid w:val="00DD3BD7"/>
    <w:rsid w:val="00DE05DB"/>
    <w:rsid w:val="00DE72D8"/>
    <w:rsid w:val="00DF0D21"/>
    <w:rsid w:val="00E00012"/>
    <w:rsid w:val="00E00425"/>
    <w:rsid w:val="00E01ACE"/>
    <w:rsid w:val="00E06EF5"/>
    <w:rsid w:val="00E153B3"/>
    <w:rsid w:val="00E173F1"/>
    <w:rsid w:val="00E22E81"/>
    <w:rsid w:val="00E31423"/>
    <w:rsid w:val="00E3329B"/>
    <w:rsid w:val="00E37B53"/>
    <w:rsid w:val="00E41709"/>
    <w:rsid w:val="00E6669C"/>
    <w:rsid w:val="00E67FBA"/>
    <w:rsid w:val="00E759D6"/>
    <w:rsid w:val="00E8359A"/>
    <w:rsid w:val="00E859C8"/>
    <w:rsid w:val="00E97DEA"/>
    <w:rsid w:val="00EA4DBD"/>
    <w:rsid w:val="00EB148A"/>
    <w:rsid w:val="00EB2B56"/>
    <w:rsid w:val="00EB443F"/>
    <w:rsid w:val="00EC56DE"/>
    <w:rsid w:val="00EF54ED"/>
    <w:rsid w:val="00EF750D"/>
    <w:rsid w:val="00F031EB"/>
    <w:rsid w:val="00F220D6"/>
    <w:rsid w:val="00F222E2"/>
    <w:rsid w:val="00F24A07"/>
    <w:rsid w:val="00F42913"/>
    <w:rsid w:val="00F528B5"/>
    <w:rsid w:val="00F57D2B"/>
    <w:rsid w:val="00F66AA2"/>
    <w:rsid w:val="00F766D3"/>
    <w:rsid w:val="00F773D6"/>
    <w:rsid w:val="00F8592E"/>
    <w:rsid w:val="00F92011"/>
    <w:rsid w:val="00F92D29"/>
    <w:rsid w:val="00F93708"/>
    <w:rsid w:val="00FA22E2"/>
    <w:rsid w:val="00FA7413"/>
    <w:rsid w:val="00FB1FA8"/>
    <w:rsid w:val="00FC3EE6"/>
    <w:rsid w:val="00FE75A6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15AA"/>
  <w15:docId w15:val="{397922BC-7BD8-704B-8FB7-7A27CE28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2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572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818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63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E63"/>
  </w:style>
  <w:style w:type="paragraph" w:styleId="Rodap">
    <w:name w:val="footer"/>
    <w:basedOn w:val="Normal"/>
    <w:link w:val="RodapChar"/>
    <w:uiPriority w:val="99"/>
    <w:unhideWhenUsed/>
    <w:rsid w:val="00A20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E63"/>
  </w:style>
  <w:style w:type="character" w:styleId="Hyperlink">
    <w:name w:val="Hyperlink"/>
    <w:basedOn w:val="Fontepargpadro"/>
    <w:uiPriority w:val="99"/>
    <w:unhideWhenUsed/>
    <w:rsid w:val="00A20E6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0E63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B05275"/>
  </w:style>
  <w:style w:type="character" w:customStyle="1" w:styleId="Ttulo3Char">
    <w:name w:val="Título 3 Char"/>
    <w:basedOn w:val="Fontepargpadro"/>
    <w:link w:val="Ttulo3"/>
    <w:uiPriority w:val="9"/>
    <w:rsid w:val="00C572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C572A7"/>
  </w:style>
  <w:style w:type="paragraph" w:styleId="PargrafodaLista">
    <w:name w:val="List Paragraph"/>
    <w:basedOn w:val="Normal"/>
    <w:uiPriority w:val="34"/>
    <w:qFormat/>
    <w:rsid w:val="00AD2542"/>
    <w:pPr>
      <w:ind w:left="720"/>
      <w:contextualSpacing/>
    </w:pPr>
    <w:rPr>
      <w:rFonts w:ascii="Cambria" w:eastAsia="MS Mincho" w:hAnsi="Cambria"/>
    </w:rPr>
  </w:style>
  <w:style w:type="table" w:styleId="Tabelacomgrade">
    <w:name w:val="Table Grid"/>
    <w:basedOn w:val="Tabelanormal"/>
    <w:uiPriority w:val="39"/>
    <w:rsid w:val="00D5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3708"/>
    <w:pPr>
      <w:spacing w:before="100" w:beforeAutospacing="1" w:after="100" w:afterAutospacing="1"/>
    </w:pPr>
  </w:style>
  <w:style w:type="table" w:customStyle="1" w:styleId="TabelaSimples41">
    <w:name w:val="Tabela Simples 41"/>
    <w:basedOn w:val="Tabelanormal"/>
    <w:uiPriority w:val="44"/>
    <w:rsid w:val="00401A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01A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401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1142D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12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61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612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173F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9D9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63C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rte">
    <w:name w:val="Strong"/>
    <w:basedOn w:val="Fontepargpadro"/>
    <w:uiPriority w:val="22"/>
    <w:qFormat/>
    <w:rsid w:val="001763C9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2F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70F3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818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e">
    <w:name w:val="Emphasis"/>
    <w:basedOn w:val="Fontepargpadro"/>
    <w:uiPriority w:val="20"/>
    <w:qFormat/>
    <w:rsid w:val="005818A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D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b.gov.br/publicacoes/focus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ecd.or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lvinodecarvalhomendonca/Documents/INFORMATIVOS%20MENDONC&#807;A/dados_indicadores_econo&#770;mic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0930378752161E-2"/>
          <c:y val="0.12435121107266436"/>
          <c:w val="0.95678139242495674"/>
          <c:h val="0.777825765264419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37C-B04C-988B-6BD8FDA97554}"/>
              </c:ext>
            </c:extLst>
          </c:dPt>
          <c:dLbls>
            <c:dLbl>
              <c:idx val="0"/>
              <c:layout>
                <c:manualLayout>
                  <c:x val="0.11388888888888889"/>
                  <c:y val="5.09259259259259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7C-B04C-988B-6BD8FDA97554}"/>
                </c:ext>
              </c:extLst>
            </c:dLbl>
            <c:dLbl>
              <c:idx val="1"/>
              <c:layout>
                <c:manualLayout>
                  <c:x val="3.3333333333333333E-2"/>
                  <c:y val="-3.2407407407407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7C-B04C-988B-6BD8FDA975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PIB!$E$65:$E$67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PIB!$G$65:$G$67</c:f>
              <c:numCache>
                <c:formatCode>0.00</c:formatCode>
                <c:ptCount val="3"/>
                <c:pt idx="0">
                  <c:v>-5.05</c:v>
                </c:pt>
                <c:pt idx="1">
                  <c:v>3.5</c:v>
                </c:pt>
                <c:pt idx="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7C-B04C-988B-6BD8FDA975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57965343"/>
        <c:axId val="2057499695"/>
      </c:barChart>
      <c:catAx>
        <c:axId val="2057965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57499695"/>
        <c:crosses val="autoZero"/>
        <c:auto val="1"/>
        <c:lblAlgn val="ctr"/>
        <c:lblOffset val="100"/>
        <c:noMultiLvlLbl val="0"/>
      </c:catAx>
      <c:valAx>
        <c:axId val="2057499695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057965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437215150086441E-2"/>
                  <c:y val="6.4850843060959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EC-8042-8D96-CD3B8B65751C}"/>
                </c:ext>
              </c:extLst>
            </c:dLbl>
            <c:dLbl>
              <c:idx val="1"/>
              <c:layout>
                <c:manualLayout>
                  <c:x val="5.9448633277275981E-2"/>
                  <c:y val="-3.3875133572656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EC-8042-8D96-CD3B8B657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PIB!$E$102:$E$104</c:f>
              <c:strCache>
                <c:ptCount val="3"/>
                <c:pt idx="0">
                  <c:v>Há 4 semanas</c:v>
                </c:pt>
                <c:pt idx="1">
                  <c:v>Há 1 semana</c:v>
                </c:pt>
                <c:pt idx="2">
                  <c:v>Hoje</c:v>
                </c:pt>
              </c:strCache>
            </c:strRef>
          </c:cat>
          <c:val>
            <c:numRef>
              <c:f>PIB!$F$102:$F$104</c:f>
              <c:numCache>
                <c:formatCode>0.00</c:formatCode>
                <c:ptCount val="3"/>
                <c:pt idx="0">
                  <c:v>-5.46</c:v>
                </c:pt>
                <c:pt idx="1">
                  <c:v>-5.1100000000000003</c:v>
                </c:pt>
                <c:pt idx="2">
                  <c:v>-5.05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EC-8042-8D96-CD3B8B6575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08952752"/>
        <c:axId val="308954384"/>
      </c:barChart>
      <c:catAx>
        <c:axId val="30895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8954384"/>
        <c:crosses val="autoZero"/>
        <c:auto val="1"/>
        <c:lblAlgn val="ctr"/>
        <c:lblOffset val="100"/>
        <c:noMultiLvlLbl val="0"/>
      </c:catAx>
      <c:valAx>
        <c:axId val="308954384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30895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10608203677510608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BA-634B-8C76-CACBD94D5D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IPCA!$X$2:$X$3</c:f>
              <c:strCache>
                <c:ptCount val="2"/>
                <c:pt idx="0">
                  <c:v>IPCA</c:v>
                </c:pt>
                <c:pt idx="1">
                  <c:v>IGP-M</c:v>
                </c:pt>
              </c:strCache>
            </c:strRef>
          </c:cat>
          <c:val>
            <c:numRef>
              <c:f>IPCA!$Y$2:$Y$3</c:f>
              <c:numCache>
                <c:formatCode>0.00</c:formatCode>
                <c:ptCount val="2"/>
                <c:pt idx="0">
                  <c:v>1.99</c:v>
                </c:pt>
                <c:pt idx="1">
                  <c:v>15.28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A-634B-8C76-CACBD94D5D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76180096"/>
        <c:axId val="1340813568"/>
      </c:barChart>
      <c:catAx>
        <c:axId val="147618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0813568"/>
        <c:crosses val="autoZero"/>
        <c:auto val="1"/>
        <c:lblAlgn val="ctr"/>
        <c:lblOffset val="100"/>
        <c:noMultiLvlLbl val="0"/>
      </c:catAx>
      <c:valAx>
        <c:axId val="1340813568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47618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30D-0446-AA77-7168846315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IPCA!$K$3:$K$5</c:f>
              <c:strCache>
                <c:ptCount val="3"/>
                <c:pt idx="0">
                  <c:v>Há 4 semanas</c:v>
                </c:pt>
                <c:pt idx="1">
                  <c:v>Há 1 semana</c:v>
                </c:pt>
                <c:pt idx="2">
                  <c:v>Hoje</c:v>
                </c:pt>
              </c:strCache>
            </c:strRef>
          </c:cat>
          <c:val>
            <c:numRef>
              <c:f>IPCA!$L$3:$L$5</c:f>
              <c:numCache>
                <c:formatCode>0.00</c:formatCode>
                <c:ptCount val="3"/>
                <c:pt idx="0">
                  <c:v>1.71</c:v>
                </c:pt>
                <c:pt idx="1">
                  <c:v>1.94</c:v>
                </c:pt>
                <c:pt idx="2">
                  <c:v>1.99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D-0446-AA77-7168846315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98356719"/>
        <c:axId val="1870569183"/>
      </c:barChart>
      <c:catAx>
        <c:axId val="2098356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70569183"/>
        <c:crosses val="autoZero"/>
        <c:auto val="1"/>
        <c:lblAlgn val="ctr"/>
        <c:lblOffset val="100"/>
        <c:noMultiLvlLbl val="0"/>
      </c:catAx>
      <c:valAx>
        <c:axId val="1870569183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098356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B33-6D4C-8B98-79E63BD27F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IPCA!$K$3:$K$5</c:f>
              <c:strCache>
                <c:ptCount val="3"/>
                <c:pt idx="0">
                  <c:v>Há 4 semanas</c:v>
                </c:pt>
                <c:pt idx="1">
                  <c:v>Há 1 semana</c:v>
                </c:pt>
                <c:pt idx="2">
                  <c:v>Hoje</c:v>
                </c:pt>
              </c:strCache>
            </c:strRef>
          </c:cat>
          <c:val>
            <c:numRef>
              <c:f>IPCA!$P$3:$P$5</c:f>
              <c:numCache>
                <c:formatCode>0.00</c:formatCode>
                <c:ptCount val="3"/>
                <c:pt idx="0">
                  <c:v>9.36</c:v>
                </c:pt>
                <c:pt idx="1">
                  <c:v>15.03</c:v>
                </c:pt>
                <c:pt idx="2">
                  <c:v>15.28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3-6D4C-8B98-79E63BD27F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98356719"/>
        <c:axId val="1870569183"/>
      </c:barChart>
      <c:catAx>
        <c:axId val="2098356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70569183"/>
        <c:crosses val="autoZero"/>
        <c:auto val="1"/>
        <c:lblAlgn val="ctr"/>
        <c:lblOffset val="100"/>
        <c:noMultiLvlLbl val="0"/>
      </c:catAx>
      <c:valAx>
        <c:axId val="1870569183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2098356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24108620085858"/>
          <c:y val="2.0774549053788536E-2"/>
          <c:w val="0.84023748269090126"/>
          <c:h val="0.75625556944431771"/>
        </c:manualLayout>
      </c:layout>
      <c:lineChart>
        <c:grouping val="standard"/>
        <c:varyColors val="0"/>
        <c:ser>
          <c:idx val="0"/>
          <c:order val="0"/>
          <c:tx>
            <c:strRef>
              <c:f>'IPCA e CÂMBIO'!$L$3</c:f>
              <c:strCache>
                <c:ptCount val="1"/>
                <c:pt idx="0">
                  <c:v>Câmbio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'IPCA e CÂMBIO'!$K$4:$K$26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'IPCA e CÂMBIO'!$L$4:$L$26</c:f>
              <c:numCache>
                <c:formatCode>General</c:formatCode>
                <c:ptCount val="23"/>
                <c:pt idx="0">
                  <c:v>1.9554</c:v>
                </c:pt>
                <c:pt idx="1">
                  <c:v>2.3203999999999998</c:v>
                </c:pt>
                <c:pt idx="2">
                  <c:v>3.5333000000000001</c:v>
                </c:pt>
                <c:pt idx="3">
                  <c:v>2.8892000000000002</c:v>
                </c:pt>
                <c:pt idx="4">
                  <c:v>2.6543999999999999</c:v>
                </c:pt>
                <c:pt idx="5">
                  <c:v>2.3407</c:v>
                </c:pt>
                <c:pt idx="6">
                  <c:v>2.1379999999999999</c:v>
                </c:pt>
                <c:pt idx="7">
                  <c:v>1.7713000000000001</c:v>
                </c:pt>
                <c:pt idx="8">
                  <c:v>2.3370000000000002</c:v>
                </c:pt>
                <c:pt idx="9">
                  <c:v>1.7412000000000001</c:v>
                </c:pt>
                <c:pt idx="10" formatCode="0.0">
                  <c:v>1.6661999999999999</c:v>
                </c:pt>
                <c:pt idx="11" formatCode="0.0">
                  <c:v>1.8757999999999999</c:v>
                </c:pt>
                <c:pt idx="12" formatCode="0.0">
                  <c:v>2.0434999999999999</c:v>
                </c:pt>
                <c:pt idx="13" formatCode="0.0">
                  <c:v>2.3426</c:v>
                </c:pt>
                <c:pt idx="14" formatCode="0.0">
                  <c:v>2.6562000000000001</c:v>
                </c:pt>
                <c:pt idx="15" formatCode="0.0">
                  <c:v>3.9047999999999998</c:v>
                </c:pt>
                <c:pt idx="16" formatCode="0.0">
                  <c:v>3.2591000000000001</c:v>
                </c:pt>
                <c:pt idx="17" formatCode="0.0">
                  <c:v>3.3079999999999998</c:v>
                </c:pt>
                <c:pt idx="18" formatCode="0.0">
                  <c:v>3.8748</c:v>
                </c:pt>
                <c:pt idx="19" formatCode="0.0">
                  <c:v>4.0307000000000004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DB-A34A-A735-235992E31C47}"/>
            </c:ext>
          </c:extLst>
        </c:ser>
        <c:ser>
          <c:idx val="1"/>
          <c:order val="1"/>
          <c:tx>
            <c:strRef>
              <c:f>'IPCA e CÂMBIO'!$M$3</c:f>
              <c:strCache>
                <c:ptCount val="1"/>
                <c:pt idx="0">
                  <c:v>Previsão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'IPCA e CÂMBIO'!$K$4:$K$26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'IPCA e CÂMBIO'!$M$4:$M$26</c:f>
              <c:numCache>
                <c:formatCode>General</c:formatCode>
                <c:ptCount val="23"/>
                <c:pt idx="19" formatCode="0.0">
                  <c:v>4.0307000000000004</c:v>
                </c:pt>
                <c:pt idx="20" formatCode="0.0">
                  <c:v>5.25</c:v>
                </c:pt>
                <c:pt idx="21" formatCode="0.0">
                  <c:v>5</c:v>
                </c:pt>
                <c:pt idx="22" formatCode="0.0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DB-A34A-A735-235992E31C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10267039"/>
        <c:axId val="1110071279"/>
      </c:lineChart>
      <c:catAx>
        <c:axId val="111026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10071279"/>
        <c:crosses val="autoZero"/>
        <c:auto val="1"/>
        <c:lblAlgn val="ctr"/>
        <c:lblOffset val="100"/>
        <c:noMultiLvlLbl val="0"/>
      </c:catAx>
      <c:valAx>
        <c:axId val="11100712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1026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E73A-9BA0-4ED3-B7FC-FACABEE6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Andrade.Mendonça</dc:creator>
  <cp:lastModifiedBy>Elvino de Carvalho Mendonca</cp:lastModifiedBy>
  <cp:revision>2</cp:revision>
  <dcterms:created xsi:type="dcterms:W3CDTF">2020-09-21T12:56:00Z</dcterms:created>
  <dcterms:modified xsi:type="dcterms:W3CDTF">2020-09-21T12:56:00Z</dcterms:modified>
</cp:coreProperties>
</file>